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8162E" w14:textId="77777777" w:rsidR="001E7212" w:rsidRPr="001E7212" w:rsidRDefault="001E7212" w:rsidP="001E7212">
      <w:r w:rsidRPr="001E7212">
        <w:t>Members,</w:t>
      </w:r>
    </w:p>
    <w:p w14:paraId="2FF79EBB" w14:textId="77777777" w:rsidR="001E7212" w:rsidRPr="001E7212" w:rsidRDefault="001E7212" w:rsidP="001E7212">
      <w:r w:rsidRPr="001E7212">
        <w:t>I hope this email finds you well. As we begin 2026, I wanted to share a summary of Sections 321, 322, and 867 from the enacted Fiscal Year 2026 National Defense Authorization Act (FY2026 NDAA). These sections introduce significant reforms to Navy surface ship maintenance, technology enhancements for maintenance, and contractor performance reporting. Below, I'll outline the main provisions of each section with expanded details for situational awareness.</w:t>
      </w:r>
    </w:p>
    <w:p w14:paraId="4991325E" w14:textId="77777777" w:rsidR="001E7212" w:rsidRPr="001E7212" w:rsidRDefault="001E7212" w:rsidP="001E7212">
      <w:r w:rsidRPr="001E7212">
        <w:rPr>
          <w:b/>
          <w:bCs/>
        </w:rPr>
        <w:t>Section 321: Surface Ship Sustainment and Readiness</w:t>
      </w:r>
    </w:p>
    <w:p w14:paraId="62461018" w14:textId="77777777" w:rsidR="001E7212" w:rsidRPr="001E7212" w:rsidRDefault="001E7212" w:rsidP="001E7212">
      <w:r w:rsidRPr="001E7212">
        <w:t>This section mandates the Secretary of the Navy to implement processes aimed at improving the material condition and combat readiness of Navy surface ships maintained and repaired at private shipyards. It focuses on creating a stable, predictable, and responsive industrial base to meet operational demands, including surge requirements during contingencies.</w:t>
      </w:r>
    </w:p>
    <w:p w14:paraId="34E461A7" w14:textId="77777777" w:rsidR="001E7212" w:rsidRPr="001E7212" w:rsidRDefault="001E7212" w:rsidP="001E7212">
      <w:r w:rsidRPr="001E7212">
        <w:t>Key provisions include:</w:t>
      </w:r>
    </w:p>
    <w:p w14:paraId="388323F4" w14:textId="77777777" w:rsidR="001E7212" w:rsidRPr="001E7212" w:rsidRDefault="001E7212" w:rsidP="001E7212">
      <w:pPr>
        <w:numPr>
          <w:ilvl w:val="0"/>
          <w:numId w:val="3"/>
        </w:numPr>
      </w:pPr>
      <w:r w:rsidRPr="001E7212">
        <w:rPr>
          <w:b/>
          <w:bCs/>
        </w:rPr>
        <w:t>Type Commander Leadership</w:t>
      </w:r>
      <w:r w:rsidRPr="001E7212">
        <w:t>: Type commanders are designated as the primary authorities for surface ship maintenance. They lead sustainment efforts, oversee private shipyard activities, set priorities, approve contracts, and ensure fleet readiness. Responsibilities extend to leading the sustainment of surface ships, overseeing all maintenance and repair activities at private shipyards, and ensuring alignment with operational needs.</w:t>
      </w:r>
    </w:p>
    <w:p w14:paraId="1A070AC7" w14:textId="77777777" w:rsidR="001E7212" w:rsidRPr="001E7212" w:rsidRDefault="001E7212" w:rsidP="001E7212">
      <w:pPr>
        <w:numPr>
          <w:ilvl w:val="0"/>
          <w:numId w:val="3"/>
        </w:numPr>
      </w:pPr>
      <w:r w:rsidRPr="001E7212">
        <w:rPr>
          <w:b/>
          <w:bCs/>
        </w:rPr>
        <w:t>Decision-Making by Key Personnel</w:t>
      </w:r>
      <w:r w:rsidRPr="001E7212">
        <w:t xml:space="preserve">: Empowers project managers, port engineers, and ship commanding officers to jointly decide on maintenance work during </w:t>
      </w:r>
      <w:proofErr w:type="gramStart"/>
      <w:r w:rsidRPr="001E7212">
        <w:t>availabilities</w:t>
      </w:r>
      <w:proofErr w:type="gramEnd"/>
      <w:r w:rsidRPr="001E7212">
        <w:t xml:space="preserve">. They may adjust work scope during the maintenance period, including adding or removing items, while adhering to agreed budgets and schedules. This includes reporting directly to the </w:t>
      </w:r>
      <w:proofErr w:type="gramStart"/>
      <w:r w:rsidRPr="001E7212">
        <w:t>type</w:t>
      </w:r>
      <w:proofErr w:type="gramEnd"/>
      <w:r w:rsidRPr="001E7212">
        <w:t xml:space="preserve"> commander concerned.</w:t>
      </w:r>
    </w:p>
    <w:p w14:paraId="1B35448B" w14:textId="77777777" w:rsidR="001E7212" w:rsidRPr="001E7212" w:rsidRDefault="001E7212" w:rsidP="001E7212">
      <w:pPr>
        <w:numPr>
          <w:ilvl w:val="0"/>
          <w:numId w:val="3"/>
        </w:numPr>
      </w:pPr>
      <w:r w:rsidRPr="001E7212">
        <w:rPr>
          <w:b/>
          <w:bCs/>
        </w:rPr>
        <w:t>Stable Workforce and Infrastructure</w:t>
      </w:r>
      <w:r w:rsidRPr="001E7212">
        <w:t>: Requires providing a stable, predictable workload to private shipyards through multi-year, multi-ship contracts by ship class. This aims to maintain a stable workforce, promote investment in facilities, and prevent layoffs and rehiring cycles. The Secretary shall provide guidance on small business set-aside requirements for large and small shipyards, addressing roles for small businesses in maintaining smaller vessels.</w:t>
      </w:r>
    </w:p>
    <w:p w14:paraId="65935093" w14:textId="77777777" w:rsidR="001E7212" w:rsidRPr="001E7212" w:rsidRDefault="001E7212" w:rsidP="001E7212">
      <w:pPr>
        <w:numPr>
          <w:ilvl w:val="0"/>
          <w:numId w:val="3"/>
        </w:numPr>
      </w:pPr>
      <w:r w:rsidRPr="001E7212">
        <w:rPr>
          <w:b/>
          <w:bCs/>
        </w:rPr>
        <w:t>Ship-Specific Assignments</w:t>
      </w:r>
      <w:r w:rsidRPr="001E7212">
        <w:t>: Shipyards shall have multi-year contracts for specified ships for repeated maintenance work to build expertise, improve knowledge of ship conditions, and accelerate repairs.</w:t>
      </w:r>
    </w:p>
    <w:p w14:paraId="5F870D90" w14:textId="77777777" w:rsidR="001E7212" w:rsidRPr="001E7212" w:rsidRDefault="001E7212" w:rsidP="001E7212">
      <w:pPr>
        <w:numPr>
          <w:ilvl w:val="0"/>
          <w:numId w:val="3"/>
        </w:numPr>
      </w:pPr>
      <w:r w:rsidRPr="001E7212">
        <w:rPr>
          <w:b/>
          <w:bCs/>
        </w:rPr>
        <w:lastRenderedPageBreak/>
        <w:t>Collaborative Planning</w:t>
      </w:r>
      <w:r w:rsidRPr="001E7212">
        <w:t>: Promotes collaboration among shipyards, Navy teams (including project managers and port engineers), and installation teams to plan maintenance, ensure realistic schedules and priorities, and support continuous maintenance activities.</w:t>
      </w:r>
    </w:p>
    <w:p w14:paraId="5B20384F" w14:textId="77777777" w:rsidR="001E7212" w:rsidRPr="001E7212" w:rsidRDefault="001E7212" w:rsidP="001E7212">
      <w:pPr>
        <w:numPr>
          <w:ilvl w:val="0"/>
          <w:numId w:val="3"/>
        </w:numPr>
      </w:pPr>
      <w:r w:rsidRPr="001E7212">
        <w:rPr>
          <w:b/>
          <w:bCs/>
        </w:rPr>
        <w:t>Roles for Large and Small Shipyards</w:t>
      </w:r>
      <w:r w:rsidRPr="001E7212">
        <w:t xml:space="preserve">: Large shipyards lead </w:t>
      </w:r>
      <w:proofErr w:type="gramStart"/>
      <w:r w:rsidRPr="001E7212">
        <w:t>complex</w:t>
      </w:r>
      <w:proofErr w:type="gramEnd"/>
      <w:r w:rsidRPr="001E7212">
        <w:t xml:space="preserve"> availabilities for large ships, while small shipyards handle smaller vessels. Includes criteria for multi-year awards placing heavy emphasis on strong teaming between large and small shipyards, multi-year training relationships, and work in both planning and execution phases of scheduled </w:t>
      </w:r>
      <w:proofErr w:type="gramStart"/>
      <w:r w:rsidRPr="001E7212">
        <w:t>availabilities</w:t>
      </w:r>
      <w:proofErr w:type="gramEnd"/>
      <w:r w:rsidRPr="001E7212">
        <w:t xml:space="preserve"> and emergency repairs.</w:t>
      </w:r>
    </w:p>
    <w:p w14:paraId="7E1D1739" w14:textId="77777777" w:rsidR="001E7212" w:rsidRPr="001E7212" w:rsidRDefault="001E7212" w:rsidP="001E7212">
      <w:pPr>
        <w:numPr>
          <w:ilvl w:val="0"/>
          <w:numId w:val="3"/>
        </w:numPr>
      </w:pPr>
      <w:r w:rsidRPr="001E7212">
        <w:rPr>
          <w:b/>
          <w:bCs/>
        </w:rPr>
        <w:t>Parts Availability</w:t>
      </w:r>
      <w:r w:rsidRPr="001E7212">
        <w:t>: The Secretary shall establish rotatable pools and procure spare parts ahead of time to create a pool of parts that can be quickly used for repairs. This includes training program managers and port engineers for specific ship classes prior to assigning such individuals to complex maintenance availabilities.</w:t>
      </w:r>
    </w:p>
    <w:p w14:paraId="3D10CE75" w14:textId="77777777" w:rsidR="001E7212" w:rsidRPr="001E7212" w:rsidRDefault="001E7212" w:rsidP="001E7212">
      <w:pPr>
        <w:numPr>
          <w:ilvl w:val="0"/>
          <w:numId w:val="3"/>
        </w:numPr>
      </w:pPr>
      <w:r w:rsidRPr="001E7212">
        <w:rPr>
          <w:b/>
          <w:bCs/>
        </w:rPr>
        <w:t>Funding for Workforce and Facilities</w:t>
      </w:r>
      <w:r w:rsidRPr="001E7212">
        <w:t>: The Secretary may allocate funds annually to private shipyards to sustain a minimum workforce and maintain repair facilities, in such amounts and under such conditions as the Secretary determines appropriate.</w:t>
      </w:r>
    </w:p>
    <w:p w14:paraId="48CD35F2" w14:textId="77777777" w:rsidR="001E7212" w:rsidRPr="001E7212" w:rsidRDefault="001E7212" w:rsidP="001E7212">
      <w:pPr>
        <w:numPr>
          <w:ilvl w:val="0"/>
          <w:numId w:val="3"/>
        </w:numPr>
      </w:pPr>
      <w:r w:rsidRPr="001E7212">
        <w:rPr>
          <w:b/>
          <w:bCs/>
        </w:rPr>
        <w:t>Small Business Requirements</w:t>
      </w:r>
      <w:r w:rsidRPr="001E7212">
        <w:t>: The Secretary shall issue guidance to address set-aside requirements for small businesses for large and small shipyards as described in paragraph (6).</w:t>
      </w:r>
    </w:p>
    <w:p w14:paraId="039B5DC8" w14:textId="77777777" w:rsidR="001E7212" w:rsidRPr="001E7212" w:rsidRDefault="001E7212" w:rsidP="001E7212">
      <w:pPr>
        <w:numPr>
          <w:ilvl w:val="0"/>
          <w:numId w:val="3"/>
        </w:numPr>
      </w:pPr>
      <w:r w:rsidRPr="001E7212">
        <w:rPr>
          <w:b/>
          <w:bCs/>
        </w:rPr>
        <w:t>Implementation Flexibility</w:t>
      </w:r>
      <w:r w:rsidRPr="001E7212">
        <w:t>: The Secretary may determine specific methods, contract types, funding levels, and operational details consistent with the requirements and authorities under this section. This includes adapting existing processes or developing new approaches to carry out such requirements and authorities.</w:t>
      </w:r>
    </w:p>
    <w:p w14:paraId="7A698577" w14:textId="77777777" w:rsidR="001E7212" w:rsidRPr="001E7212" w:rsidRDefault="001E7212" w:rsidP="001E7212">
      <w:pPr>
        <w:numPr>
          <w:ilvl w:val="0"/>
          <w:numId w:val="3"/>
        </w:numPr>
      </w:pPr>
      <w:r w:rsidRPr="001E7212">
        <w:rPr>
          <w:b/>
          <w:bCs/>
        </w:rPr>
        <w:t>Report Requirement</w:t>
      </w:r>
      <w:r w:rsidRPr="001E7212">
        <w:t>: Not later than 180 days after the date of the enactment of this Act, the Secretary of the Navy shall submit to the congressional defense committees a report detailing the implementation of this section, including the Navy's planned approach for funding, metrics to measure success, and roles of type commanders, regional maintenance centers, project managers, port engineers, ship commanding officers, and contracting officers.</w:t>
      </w:r>
    </w:p>
    <w:p w14:paraId="3D320ED5" w14:textId="77777777" w:rsidR="001E7212" w:rsidRPr="001E7212" w:rsidRDefault="001E7212" w:rsidP="001E7212">
      <w:pPr>
        <w:numPr>
          <w:ilvl w:val="0"/>
          <w:numId w:val="3"/>
        </w:numPr>
      </w:pPr>
      <w:r w:rsidRPr="001E7212">
        <w:rPr>
          <w:b/>
          <w:bCs/>
        </w:rPr>
        <w:t>Definitions</w:t>
      </w:r>
      <w:r w:rsidRPr="001E7212">
        <w:t xml:space="preserve">: Provides definitions for key terms such as "port engineer" (technical expert on a ship's condition who advises on repairs and maintenance), "project manager" (individual responsible for overseeing a ship's maintenance period), "regional maintenance center" (organization supporting ship maintenance in </w:t>
      </w:r>
      <w:r w:rsidRPr="001E7212">
        <w:lastRenderedPageBreak/>
        <w:t>specific regions like Norfolk, Virginia; San Diego, California; Everett, Washington; and Pearl Harbor, Hawaii), "ship commanding officer" (the commanding officer of the ship), and "type commander" (responsible for a type of ship or aircraft).</w:t>
      </w:r>
    </w:p>
    <w:p w14:paraId="446FCABC" w14:textId="77777777" w:rsidR="001E7212" w:rsidRPr="001E7212" w:rsidRDefault="001E7212" w:rsidP="001E7212">
      <w:r w:rsidRPr="001E7212">
        <w:rPr>
          <w:b/>
          <w:bCs/>
        </w:rPr>
        <w:t>Section 322: Technology Enhancement for Surface Ship Maintenance</w:t>
      </w:r>
    </w:p>
    <w:p w14:paraId="0FC16178" w14:textId="77777777" w:rsidR="001E7212" w:rsidRPr="001E7212" w:rsidRDefault="001E7212" w:rsidP="001E7212">
      <w:r w:rsidRPr="001E7212">
        <w:t>This section requires the Secretary of the Navy to establish programs and strategies to enhance surface ship maintenance using advanced digital and automated technologies, such as digital twins, AI, machine learning, predictive maintenance, additive manufacturing, automation, robotics, augmented reality, sensor-based monitoring, and data analytics. The aim is to improve efficiency, reduce downtime, lower costs, enhance readiness, and address maintenance delays.</w:t>
      </w:r>
    </w:p>
    <w:p w14:paraId="08C503E6" w14:textId="77777777" w:rsidR="001E7212" w:rsidRPr="001E7212" w:rsidRDefault="001E7212" w:rsidP="001E7212">
      <w:r w:rsidRPr="001E7212">
        <w:t>Key provisions include:</w:t>
      </w:r>
    </w:p>
    <w:p w14:paraId="09335717" w14:textId="77777777" w:rsidR="001E7212" w:rsidRPr="001E7212" w:rsidRDefault="001E7212" w:rsidP="001E7212">
      <w:pPr>
        <w:numPr>
          <w:ilvl w:val="0"/>
          <w:numId w:val="4"/>
        </w:numPr>
      </w:pPr>
      <w:r w:rsidRPr="001E7212">
        <w:rPr>
          <w:b/>
          <w:bCs/>
        </w:rPr>
        <w:t>Program Elements</w:t>
      </w:r>
      <w:r w:rsidRPr="001E7212">
        <w:t>: Establishes initiatives for digital twins (virtual replicas using real-time data for simulation, failure prediction, and optimization), AI and ML for predictive maintenance and diagnostics, automation and robotics (e.g., robotic inspections, drones, AUVs, automated hull cleaning), additive manufacturing for on-demand parts, AR for guided repairs and training, and standardized data architectures for interoperability with logistics and supply chains.</w:t>
      </w:r>
    </w:p>
    <w:p w14:paraId="11A0BA3E" w14:textId="77777777" w:rsidR="001E7212" w:rsidRPr="001E7212" w:rsidRDefault="001E7212" w:rsidP="001E7212">
      <w:pPr>
        <w:numPr>
          <w:ilvl w:val="0"/>
          <w:numId w:val="4"/>
        </w:numPr>
      </w:pPr>
      <w:r w:rsidRPr="001E7212">
        <w:rPr>
          <w:b/>
          <w:bCs/>
        </w:rPr>
        <w:t>Operational Demonstration Mandate</w:t>
      </w:r>
      <w:r w:rsidRPr="001E7212">
        <w:t>: Prohibits awarding or funding contracts for covered systems (propulsion, electrical, or combat systems) unless an operational demonstration of at least 720 continuous hours without maintenance is included. Demonstrations must be land- or sea-based in vessel-representative form. Certification of successful demonstration is required before delivery acceptance, with contract financing limits (90% for small businesses, 80% for others) until certification is submitted to congressional defense committees.</w:t>
      </w:r>
    </w:p>
    <w:p w14:paraId="5E15886E" w14:textId="77777777" w:rsidR="001E7212" w:rsidRPr="001E7212" w:rsidRDefault="001E7212" w:rsidP="001E7212">
      <w:pPr>
        <w:numPr>
          <w:ilvl w:val="0"/>
          <w:numId w:val="4"/>
        </w:numPr>
      </w:pPr>
      <w:r w:rsidRPr="001E7212">
        <w:rPr>
          <w:b/>
          <w:bCs/>
        </w:rPr>
        <w:t>Open Qualification Process</w:t>
      </w:r>
      <w:r w:rsidRPr="001E7212">
        <w:t>: Allows private entities to submit proposals for advanced technologies not explicitly listed. The Secretary must evaluate proposals within 90 days based on technical merit and Navy needs. If not qualified, an independent third-party review is mandated, with an unaltered report submitted to Congress within 90 days evaluating the decision and providing recommendations.</w:t>
      </w:r>
    </w:p>
    <w:p w14:paraId="7B1FCEBB" w14:textId="77777777" w:rsidR="001E7212" w:rsidRPr="001E7212" w:rsidRDefault="001E7212" w:rsidP="001E7212">
      <w:pPr>
        <w:numPr>
          <w:ilvl w:val="0"/>
          <w:numId w:val="4"/>
        </w:numPr>
      </w:pPr>
      <w:r w:rsidRPr="001E7212">
        <w:rPr>
          <w:b/>
          <w:bCs/>
        </w:rPr>
        <w:t>Implementation and Timeline</w:t>
      </w:r>
      <w:r w:rsidRPr="001E7212">
        <w:t xml:space="preserve">: Develop a technology enhancement plan within 180 days of enactment, initiate pilot </w:t>
      </w:r>
      <w:proofErr w:type="gramStart"/>
      <w:r w:rsidRPr="001E7212">
        <w:t>projects at</w:t>
      </w:r>
      <w:proofErr w:type="gramEnd"/>
      <w:r w:rsidRPr="001E7212">
        <w:t xml:space="preserve"> </w:t>
      </w:r>
      <w:proofErr w:type="spellStart"/>
      <w:r w:rsidRPr="001E7212">
        <w:t>at</w:t>
      </w:r>
      <w:proofErr w:type="spellEnd"/>
      <w:r w:rsidRPr="001E7212">
        <w:t xml:space="preserve"> least three naval shipyards within 180 days, begin full implementation within one year, and submit an initial report to Congress within one year. Annual reports are required for 5-6 years, with biennial reports until 2030 in some cases, and interim briefings (e.g., by March 1, 2026, on AI demonstrations).</w:t>
      </w:r>
    </w:p>
    <w:p w14:paraId="0E4AD5EC" w14:textId="77777777" w:rsidR="001E7212" w:rsidRPr="001E7212" w:rsidRDefault="001E7212" w:rsidP="001E7212">
      <w:pPr>
        <w:numPr>
          <w:ilvl w:val="0"/>
          <w:numId w:val="4"/>
        </w:numPr>
      </w:pPr>
      <w:r w:rsidRPr="001E7212">
        <w:rPr>
          <w:b/>
          <w:bCs/>
        </w:rPr>
        <w:lastRenderedPageBreak/>
        <w:t>Funding</w:t>
      </w:r>
      <w:r w:rsidRPr="001E7212">
        <w:t>: Authorizes $50,000,000 for FY2026 (operations and maintenance, Navy) for technology development, pilots, training, and partnerships, with administrative costs capped at ≤10%. Additional sums may be authorized for FY2024-2028 as needed.</w:t>
      </w:r>
    </w:p>
    <w:p w14:paraId="67FD671E" w14:textId="77777777" w:rsidR="001E7212" w:rsidRPr="001E7212" w:rsidRDefault="001E7212" w:rsidP="001E7212">
      <w:pPr>
        <w:numPr>
          <w:ilvl w:val="0"/>
          <w:numId w:val="4"/>
        </w:numPr>
      </w:pPr>
      <w:r w:rsidRPr="001E7212">
        <w:rPr>
          <w:b/>
          <w:bCs/>
        </w:rPr>
        <w:t>Reporting Requirements</w:t>
      </w:r>
      <w:r w:rsidRPr="001E7212">
        <w:t>: Reports to congressional defense committees must cover progress, cost savings, efficiency gains, readiness improvements, challenges, mitigation strategies, timelines, and success metrics (e.g., readiness rates, cost per ship, maintenance cycle time).</w:t>
      </w:r>
    </w:p>
    <w:p w14:paraId="7F69E66D" w14:textId="77777777" w:rsidR="001E7212" w:rsidRPr="001E7212" w:rsidRDefault="001E7212" w:rsidP="001E7212">
      <w:pPr>
        <w:numPr>
          <w:ilvl w:val="0"/>
          <w:numId w:val="4"/>
        </w:numPr>
      </w:pPr>
      <w:r w:rsidRPr="001E7212">
        <w:rPr>
          <w:b/>
          <w:bCs/>
        </w:rPr>
        <w:t>AI Integration</w:t>
      </w:r>
      <w:r w:rsidRPr="001E7212">
        <w:t>: Mandates integration of commercial AI tools for logistics and analytics into DoD exercises in FY2026, with selection criteria emphasizing commercial availability, data security, agile updates, and preference for small/nontraditional firms. Includes expedited approvals for secure data use and compliance with cybersecurity policies. Requires interim briefing by March 1, 2026, and post-exercise briefing within 30 days.</w:t>
      </w:r>
    </w:p>
    <w:p w14:paraId="1CB9DF75" w14:textId="77777777" w:rsidR="001E7212" w:rsidRPr="001E7212" w:rsidRDefault="001E7212" w:rsidP="001E7212">
      <w:pPr>
        <w:numPr>
          <w:ilvl w:val="0"/>
          <w:numId w:val="4"/>
        </w:numPr>
      </w:pPr>
      <w:r w:rsidRPr="001E7212">
        <w:rPr>
          <w:b/>
          <w:bCs/>
        </w:rPr>
        <w:t>Center of Excellence Study</w:t>
      </w:r>
      <w:r w:rsidRPr="001E7212">
        <w:t>: Requires a study on the feasibility of establishing a Center of Excellence for Surface Ship Maintenance, led by the Secretary with input from Fleet Forces Command, Pacific Fleet, and Surface Warfare Directorate. The study assesses inefficiencies, evaluates technologies, recommends structure/location/funding/partnerships, and includes risk analysis and timeline, due within 18 months. No mandate to establish unless advisable.</w:t>
      </w:r>
    </w:p>
    <w:p w14:paraId="21BE48B9" w14:textId="77777777" w:rsidR="001E7212" w:rsidRPr="001E7212" w:rsidRDefault="001E7212" w:rsidP="001E7212">
      <w:pPr>
        <w:numPr>
          <w:ilvl w:val="0"/>
          <w:numId w:val="4"/>
        </w:numPr>
      </w:pPr>
      <w:r w:rsidRPr="001E7212">
        <w:rPr>
          <w:b/>
          <w:bCs/>
        </w:rPr>
        <w:t>Cybersecurity Requirements</w:t>
      </w:r>
      <w:r w:rsidRPr="001E7212">
        <w:t>: All systems must comply with DoD cybersecurity standards, protect against threats, integrate with CMMC, and secure classified data. Contractors must follow best practices.</w:t>
      </w:r>
    </w:p>
    <w:p w14:paraId="1BF8A40C" w14:textId="77777777" w:rsidR="001E7212" w:rsidRPr="001E7212" w:rsidRDefault="001E7212" w:rsidP="001E7212">
      <w:pPr>
        <w:numPr>
          <w:ilvl w:val="0"/>
          <w:numId w:val="4"/>
        </w:numPr>
      </w:pPr>
      <w:r w:rsidRPr="001E7212">
        <w:rPr>
          <w:b/>
          <w:bCs/>
        </w:rPr>
        <w:t>Sense of Congress</w:t>
      </w:r>
      <w:r w:rsidRPr="001E7212">
        <w:t>: Emphasizes that surface ship maintenance is inefficient and outdated, advanced technologies can reduce costs and improve readiness, and public-private-academic collaboration is essential for naval dominance.</w:t>
      </w:r>
    </w:p>
    <w:p w14:paraId="2CBA14BC" w14:textId="77777777" w:rsidR="001E7212" w:rsidRPr="001E7212" w:rsidRDefault="001E7212" w:rsidP="001E7212">
      <w:pPr>
        <w:numPr>
          <w:ilvl w:val="0"/>
          <w:numId w:val="4"/>
        </w:numPr>
      </w:pPr>
      <w:r w:rsidRPr="001E7212">
        <w:rPr>
          <w:b/>
          <w:bCs/>
        </w:rPr>
        <w:t>Definitions</w:t>
      </w:r>
      <w:r w:rsidRPr="001E7212">
        <w:t>: Includes terms like "surface ship" (any commissioned Navy vessel not a submarine), "digital twin" (virtual representation using real-time data), "advanced technologies" (AI, ML, etc.), "predictive maintenance" (data-driven failure prediction), "covered system" (propulsion, electrical, or combat systems), and "operational demonstration" (720-hour test).</w:t>
      </w:r>
    </w:p>
    <w:p w14:paraId="79BA48DC" w14:textId="77777777" w:rsidR="001E7212" w:rsidRPr="001E7212" w:rsidRDefault="001E7212" w:rsidP="001E7212">
      <w:r w:rsidRPr="001E7212">
        <w:rPr>
          <w:b/>
          <w:bCs/>
        </w:rPr>
        <w:t>Section 867: Reform of Contractor Performance Information Requirements</w:t>
      </w:r>
    </w:p>
    <w:p w14:paraId="7A8A1495" w14:textId="77777777" w:rsidR="001E7212" w:rsidRPr="001E7212" w:rsidRDefault="001E7212" w:rsidP="001E7212">
      <w:r w:rsidRPr="001E7212">
        <w:lastRenderedPageBreak/>
        <w:t>This section reforms the Contractor Performance Assessment Reporting System (CPARS) to emphasize objective, fact-based evaluations focused on verifiable negative performance events, eliminating subjective ratings and reducing administrative burdens.</w:t>
      </w:r>
    </w:p>
    <w:p w14:paraId="1E44914A" w14:textId="77777777" w:rsidR="001E7212" w:rsidRPr="001E7212" w:rsidRDefault="001E7212" w:rsidP="001E7212">
      <w:r w:rsidRPr="001E7212">
        <w:t>Key provisions include:</w:t>
      </w:r>
    </w:p>
    <w:p w14:paraId="478692C8" w14:textId="77777777" w:rsidR="001E7212" w:rsidRPr="001E7212" w:rsidRDefault="001E7212" w:rsidP="001E7212">
      <w:pPr>
        <w:numPr>
          <w:ilvl w:val="0"/>
          <w:numId w:val="5"/>
        </w:numPr>
      </w:pPr>
      <w:r w:rsidRPr="001E7212">
        <w:rPr>
          <w:b/>
          <w:bCs/>
        </w:rPr>
        <w:t>Elimination of Subjective Ratings</w:t>
      </w:r>
      <w:r w:rsidRPr="001E7212">
        <w:t>: Subjective performance ratings for contracts are eliminated. Evaluations are limited to reporting and scoring verifiable negative performance events as described in subsections.</w:t>
      </w:r>
    </w:p>
    <w:p w14:paraId="10B9E6C3" w14:textId="77777777" w:rsidR="001E7212" w:rsidRPr="001E7212" w:rsidRDefault="001E7212" w:rsidP="001E7212">
      <w:pPr>
        <w:numPr>
          <w:ilvl w:val="0"/>
          <w:numId w:val="5"/>
        </w:numPr>
      </w:pPr>
      <w:r w:rsidRPr="001E7212">
        <w:rPr>
          <w:b/>
          <w:bCs/>
        </w:rPr>
        <w:t>Scope of Reportable Events</w:t>
      </w:r>
      <w:r w:rsidRPr="001E7212">
        <w:t xml:space="preserve">: Contracting officers shall report negative performance events with verifiable data that have a material impact on contract performance or government interests, including events involving subcontractors. Reporting shall exclude positive or neutral performance assessments except </w:t>
      </w:r>
      <w:proofErr w:type="gramStart"/>
      <w:r w:rsidRPr="001E7212">
        <w:t>as</w:t>
      </w:r>
      <w:proofErr w:type="gramEnd"/>
      <w:r w:rsidRPr="001E7212">
        <w:t xml:space="preserve"> necessary to provide context for a negative performance event.</w:t>
      </w:r>
    </w:p>
    <w:p w14:paraId="46D69417" w14:textId="77777777" w:rsidR="001E7212" w:rsidRPr="001E7212" w:rsidRDefault="001E7212" w:rsidP="001E7212">
      <w:pPr>
        <w:numPr>
          <w:ilvl w:val="0"/>
          <w:numId w:val="5"/>
        </w:numPr>
      </w:pPr>
      <w:r w:rsidRPr="001E7212">
        <w:rPr>
          <w:b/>
          <w:bCs/>
        </w:rPr>
        <w:t>Frequency and Timing</w:t>
      </w:r>
      <w:r w:rsidRPr="001E7212">
        <w:t>: Reports on negative events must be made within 30 days of identifying and verifying the event. Annual or periodic evaluations are not required unless negative performance occurs.</w:t>
      </w:r>
    </w:p>
    <w:p w14:paraId="30FC1A9C" w14:textId="77777777" w:rsidR="001E7212" w:rsidRPr="001E7212" w:rsidRDefault="001E7212" w:rsidP="001E7212">
      <w:pPr>
        <w:numPr>
          <w:ilvl w:val="0"/>
          <w:numId w:val="5"/>
        </w:numPr>
      </w:pPr>
      <w:r w:rsidRPr="001E7212">
        <w:rPr>
          <w:b/>
          <w:bCs/>
        </w:rPr>
        <w:t>Use in Source Selection</w:t>
      </w:r>
      <w:r w:rsidRPr="001E7212">
        <w:t>: Negative events and associated scores shall be considered in source selection evaluations to assess contractor past performance risk. Scores are calculated automatically by CPARS based on data entered by contracting officers, including the number of transactions and contract dollar value.</w:t>
      </w:r>
    </w:p>
    <w:p w14:paraId="5295ADDC" w14:textId="77777777" w:rsidR="001E7212" w:rsidRPr="001E7212" w:rsidRDefault="001E7212" w:rsidP="001E7212">
      <w:pPr>
        <w:numPr>
          <w:ilvl w:val="0"/>
          <w:numId w:val="5"/>
        </w:numPr>
      </w:pPr>
      <w:r w:rsidRPr="001E7212">
        <w:rPr>
          <w:b/>
          <w:bCs/>
        </w:rPr>
        <w:t>Contractor Access and Response</w:t>
      </w:r>
      <w:r w:rsidRPr="001E7212">
        <w:t>: Contractors shall have access to their composite scores (based on number of events, transactions, and dollar volume) through CPARS. They may submit comments or rebuttals to reported events or scores, which shall be maintained in CPARS for consideration in source selection.</w:t>
      </w:r>
    </w:p>
    <w:p w14:paraId="533BACEF" w14:textId="77777777" w:rsidR="001E7212" w:rsidRPr="001E7212" w:rsidRDefault="001E7212" w:rsidP="001E7212">
      <w:pPr>
        <w:numPr>
          <w:ilvl w:val="0"/>
          <w:numId w:val="5"/>
        </w:numPr>
      </w:pPr>
      <w:r w:rsidRPr="001E7212">
        <w:rPr>
          <w:b/>
          <w:bCs/>
        </w:rPr>
        <w:t>Mandatory Reportable Issues</w:t>
      </w:r>
      <w:r w:rsidRPr="001E7212">
        <w:t>: CPARS must provide for reporting on key issues of negative performance, including:</w:t>
      </w:r>
    </w:p>
    <w:p w14:paraId="336628C3" w14:textId="77777777" w:rsidR="001E7212" w:rsidRPr="001E7212" w:rsidRDefault="001E7212" w:rsidP="001E7212">
      <w:pPr>
        <w:numPr>
          <w:ilvl w:val="1"/>
          <w:numId w:val="5"/>
        </w:numPr>
      </w:pPr>
      <w:r w:rsidRPr="001E7212">
        <w:t>(A) Delivery of Defective Products: Delivery of products failing to meet contract requirements, as verified by government inspection reports, quality assurance records, or testing results.</w:t>
      </w:r>
    </w:p>
    <w:p w14:paraId="713695CE" w14:textId="77777777" w:rsidR="001E7212" w:rsidRPr="001E7212" w:rsidRDefault="001E7212" w:rsidP="001E7212">
      <w:pPr>
        <w:numPr>
          <w:ilvl w:val="1"/>
          <w:numId w:val="5"/>
        </w:numPr>
      </w:pPr>
      <w:r w:rsidRPr="001E7212">
        <w:t>(B) Delinquent Deliveries: Failure to meet contract delivery schedules, as documented in contract milestones, delivery orders, or government correspondence.</w:t>
      </w:r>
    </w:p>
    <w:p w14:paraId="561DFF4A" w14:textId="77777777" w:rsidR="001E7212" w:rsidRPr="001E7212" w:rsidRDefault="001E7212" w:rsidP="001E7212">
      <w:pPr>
        <w:numPr>
          <w:ilvl w:val="1"/>
          <w:numId w:val="5"/>
        </w:numPr>
      </w:pPr>
      <w:r w:rsidRPr="001E7212">
        <w:lastRenderedPageBreak/>
        <w:t>(C) Improper Markings or Rights Assertions on Technical Data: Incorrect or unauthorized markings on technical data or software, or improper assertions of restrictive rights, as verified by government review or legal findings.</w:t>
      </w:r>
    </w:p>
    <w:p w14:paraId="57D792AC" w14:textId="77777777" w:rsidR="001E7212" w:rsidRPr="001E7212" w:rsidRDefault="001E7212" w:rsidP="001E7212">
      <w:pPr>
        <w:numPr>
          <w:ilvl w:val="1"/>
          <w:numId w:val="5"/>
        </w:numPr>
      </w:pPr>
      <w:r w:rsidRPr="001E7212">
        <w:t>(D) Defective Pricing: Submission of inaccurate, incomplete, or misleading cost or pricing data, as identified through audits by the Defense Contract Audit Agency (DCAA) or other authorities.</w:t>
      </w:r>
    </w:p>
    <w:p w14:paraId="0422B3B2" w14:textId="77777777" w:rsidR="001E7212" w:rsidRPr="001E7212" w:rsidRDefault="001E7212" w:rsidP="001E7212">
      <w:pPr>
        <w:numPr>
          <w:ilvl w:val="1"/>
          <w:numId w:val="5"/>
        </w:numPr>
      </w:pPr>
      <w:r w:rsidRPr="001E7212">
        <w:t>(E) Failure to Flow Down Required Clauses to Subcontractors: Failure to include mandatory contract clauses in subcontracts, as verified by contract reviews or audits.</w:t>
      </w:r>
    </w:p>
    <w:p w14:paraId="425453A9" w14:textId="77777777" w:rsidR="001E7212" w:rsidRPr="001E7212" w:rsidRDefault="001E7212" w:rsidP="001E7212">
      <w:pPr>
        <w:numPr>
          <w:ilvl w:val="1"/>
          <w:numId w:val="5"/>
        </w:numPr>
      </w:pPr>
      <w:r w:rsidRPr="001E7212">
        <w:t>(F) False Claims or Misrepresentations: Submission of false claims, fraudulent invoices, or misrepresentations, as substantiated by investigations, legal findings, or government records.</w:t>
      </w:r>
    </w:p>
    <w:p w14:paraId="381A4360" w14:textId="77777777" w:rsidR="001E7212" w:rsidRPr="001E7212" w:rsidRDefault="001E7212" w:rsidP="001E7212">
      <w:pPr>
        <w:numPr>
          <w:ilvl w:val="1"/>
          <w:numId w:val="5"/>
        </w:numPr>
      </w:pPr>
      <w:r w:rsidRPr="001E7212">
        <w:t>(G) Non-Compliance with Safety or Regulatory Requirements: Failure to comply with safety, environmental, or other regulatory requirements, as documented by government inspections or citations.</w:t>
      </w:r>
    </w:p>
    <w:p w14:paraId="62979091" w14:textId="77777777" w:rsidR="001E7212" w:rsidRPr="001E7212" w:rsidRDefault="001E7212" w:rsidP="001E7212">
      <w:pPr>
        <w:numPr>
          <w:ilvl w:val="1"/>
          <w:numId w:val="5"/>
        </w:numPr>
      </w:pPr>
      <w:r w:rsidRPr="001E7212">
        <w:t>(H) Significant Cybersecurity Breaches or Failures: Failure to meet cybersecurity requirements or significant breaches, as verified by contractor negligence, as assessed by government incident reports.</w:t>
      </w:r>
    </w:p>
    <w:p w14:paraId="6B91EA95" w14:textId="77777777" w:rsidR="001E7212" w:rsidRPr="001E7212" w:rsidRDefault="001E7212" w:rsidP="001E7212">
      <w:pPr>
        <w:numPr>
          <w:ilvl w:val="0"/>
          <w:numId w:val="5"/>
        </w:numPr>
      </w:pPr>
      <w:r w:rsidRPr="001E7212">
        <w:rPr>
          <w:b/>
          <w:bCs/>
        </w:rPr>
        <w:t>Additional Indicators</w:t>
      </w:r>
      <w:r w:rsidRPr="001E7212">
        <w:t>: The Secretary of Defense may establish additional negative performance indicators, provided they are verifiable and objective.</w:t>
      </w:r>
    </w:p>
    <w:p w14:paraId="57E14326" w14:textId="77777777" w:rsidR="001E7212" w:rsidRPr="001E7212" w:rsidRDefault="001E7212" w:rsidP="001E7212">
      <w:pPr>
        <w:numPr>
          <w:ilvl w:val="0"/>
          <w:numId w:val="5"/>
        </w:numPr>
      </w:pPr>
      <w:r w:rsidRPr="001E7212">
        <w:rPr>
          <w:b/>
          <w:bCs/>
        </w:rPr>
        <w:t>Revision of Regulations</w:t>
      </w:r>
      <w:r w:rsidRPr="001E7212">
        <w:t>: Not later than 180 days after enactment, the Secretary shall revise subpart 242.15 of the Defense Federal Acquisition Regulation Supplement (DFARS) and related guidance, including CPARS, to implement these reforms.</w:t>
      </w:r>
    </w:p>
    <w:p w14:paraId="77D9EDBB" w14:textId="77777777" w:rsidR="001E7212" w:rsidRPr="001E7212" w:rsidRDefault="001E7212" w:rsidP="001E7212">
      <w:pPr>
        <w:numPr>
          <w:ilvl w:val="0"/>
          <w:numId w:val="5"/>
        </w:numPr>
      </w:pPr>
      <w:r w:rsidRPr="001E7212">
        <w:rPr>
          <w:b/>
          <w:bCs/>
        </w:rPr>
        <w:t>Application of Scores</w:t>
      </w:r>
      <w:r w:rsidRPr="001E7212">
        <w:t xml:space="preserve">: Positive scores shall be reported in CPARS alongside negative events. The absence of negative events for a contractor, including nontraditional defense contractors or new entrants, shall not be considered a deficiency in past performance evaluations. Such contractors </w:t>
      </w:r>
      <w:proofErr w:type="gramStart"/>
      <w:r w:rsidRPr="001E7212">
        <w:t>shall</w:t>
      </w:r>
      <w:proofErr w:type="gramEnd"/>
      <w:r w:rsidRPr="001E7212">
        <w:t xml:space="preserve"> be evaluated based on available technical capability, price, and other relevant factors.</w:t>
      </w:r>
    </w:p>
    <w:p w14:paraId="7E821278" w14:textId="77777777" w:rsidR="001E7212" w:rsidRPr="001E7212" w:rsidRDefault="001E7212" w:rsidP="001E7212">
      <w:pPr>
        <w:numPr>
          <w:ilvl w:val="0"/>
          <w:numId w:val="5"/>
        </w:numPr>
      </w:pPr>
      <w:r w:rsidRPr="001E7212">
        <w:rPr>
          <w:b/>
          <w:bCs/>
        </w:rPr>
        <w:t>Transparency</w:t>
      </w:r>
      <w:r w:rsidRPr="001E7212">
        <w:t>: Contractors have access to underlying data (number of events, transactions, dollar volume) through CPARS.</w:t>
      </w:r>
    </w:p>
    <w:p w14:paraId="5F0B8964" w14:textId="77777777" w:rsidR="001E7212" w:rsidRPr="001E7212" w:rsidRDefault="001E7212" w:rsidP="001E7212">
      <w:pPr>
        <w:numPr>
          <w:ilvl w:val="0"/>
          <w:numId w:val="5"/>
        </w:numPr>
      </w:pPr>
      <w:r w:rsidRPr="001E7212">
        <w:rPr>
          <w:b/>
          <w:bCs/>
        </w:rPr>
        <w:lastRenderedPageBreak/>
        <w:t>Key Issues for Reporting</w:t>
      </w:r>
      <w:r w:rsidRPr="001E7212">
        <w:t>: Expands on mandatory reporting for issues like defective products, delinquent deliveries, improper markings, defective pricing, false claims, safety noncompliance, and cybersecurity breaches.</w:t>
      </w:r>
    </w:p>
    <w:p w14:paraId="58A2AEA6" w14:textId="77777777" w:rsidR="001E7212" w:rsidRPr="001E7212" w:rsidRDefault="001E7212" w:rsidP="001E7212">
      <w:r w:rsidRPr="001E7212">
        <w:t>These sections represent important steps toward modernizing defense sustainment, technological integration in maintenance, and contractor accountability. The full NDAA text direct link:</w:t>
      </w:r>
      <w:hyperlink r:id="rId7" w:tgtFrame="_blank" w:history="1">
        <w:r w:rsidRPr="001E7212">
          <w:rPr>
            <w:rStyle w:val="Hyperlink"/>
          </w:rPr>
          <w:t>https://www.congress.gov/bill/119th-congress/senate-bill/1071/text</w:t>
        </w:r>
      </w:hyperlink>
    </w:p>
    <w:p w14:paraId="7412F0AA" w14:textId="77777777" w:rsidR="001E7212" w:rsidRPr="001E7212" w:rsidRDefault="001E7212" w:rsidP="001E7212">
      <w:r w:rsidRPr="001E7212">
        <w:t>Marcel Becker</w:t>
      </w:r>
    </w:p>
    <w:p w14:paraId="15A7AC36" w14:textId="77777777" w:rsidR="001E7212" w:rsidRPr="001E7212" w:rsidRDefault="001E7212" w:rsidP="001E7212">
      <w:r w:rsidRPr="001E7212">
        <w:t>Chairman</w:t>
      </w:r>
    </w:p>
    <w:p w14:paraId="5C86503C" w14:textId="77777777" w:rsidR="001E7212" w:rsidRPr="001E7212" w:rsidRDefault="001E7212" w:rsidP="001E7212">
      <w:r w:rsidRPr="001E7212">
        <w:t>Board of Directors</w:t>
      </w:r>
    </w:p>
    <w:p w14:paraId="27C0E59D" w14:textId="77777777" w:rsidR="001E7212" w:rsidRPr="001E7212" w:rsidRDefault="001E7212" w:rsidP="001E7212">
      <w:r w:rsidRPr="001E7212">
        <w:t>Strategic Affairs Committee</w:t>
      </w:r>
    </w:p>
    <w:tbl>
      <w:tblPr>
        <w:tblW w:w="21600" w:type="dxa"/>
        <w:tblCellMar>
          <w:left w:w="0" w:type="dxa"/>
          <w:right w:w="0" w:type="dxa"/>
        </w:tblCellMar>
        <w:tblLook w:val="04A0" w:firstRow="1" w:lastRow="0" w:firstColumn="1" w:lastColumn="0" w:noHBand="0" w:noVBand="1"/>
      </w:tblPr>
      <w:tblGrid>
        <w:gridCol w:w="21600"/>
      </w:tblGrid>
      <w:tr w:rsidR="001E7212" w:rsidRPr="001E7212" w14:paraId="0CED48D0" w14:textId="77777777">
        <w:tc>
          <w:tcPr>
            <w:tcW w:w="0" w:type="auto"/>
            <w:hideMark/>
          </w:tcPr>
          <w:tbl>
            <w:tblPr>
              <w:tblW w:w="21600" w:type="dxa"/>
              <w:tblCellMar>
                <w:left w:w="0" w:type="dxa"/>
                <w:right w:w="0" w:type="dxa"/>
              </w:tblCellMar>
              <w:tblLook w:val="04A0" w:firstRow="1" w:lastRow="0" w:firstColumn="1" w:lastColumn="0" w:noHBand="0" w:noVBand="1"/>
            </w:tblPr>
            <w:tblGrid>
              <w:gridCol w:w="21600"/>
            </w:tblGrid>
            <w:tr w:rsidR="001E7212" w:rsidRPr="001E7212" w14:paraId="577D97CE" w14:textId="77777777">
              <w:tc>
                <w:tcPr>
                  <w:tcW w:w="0" w:type="auto"/>
                  <w:hideMark/>
                </w:tcPr>
                <w:p w14:paraId="2E358D61" w14:textId="77777777" w:rsidR="001E7212" w:rsidRPr="001E7212" w:rsidRDefault="001E7212" w:rsidP="001E7212"/>
              </w:tc>
            </w:tr>
          </w:tbl>
          <w:p w14:paraId="0835A450" w14:textId="77777777" w:rsidR="001E7212" w:rsidRPr="001E7212" w:rsidRDefault="001E7212" w:rsidP="001E7212"/>
        </w:tc>
      </w:tr>
    </w:tbl>
    <w:p w14:paraId="1ABF2EC7" w14:textId="77777777" w:rsidR="00216CAA" w:rsidRPr="001E7212" w:rsidRDefault="00216CAA" w:rsidP="001E7212"/>
    <w:sectPr w:rsidR="00216CAA" w:rsidRPr="001E721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AC093" w14:textId="77777777" w:rsidR="00D80BC7" w:rsidRDefault="00D80BC7" w:rsidP="00C44E38">
      <w:pPr>
        <w:spacing w:after="0" w:line="240" w:lineRule="auto"/>
      </w:pPr>
      <w:r>
        <w:separator/>
      </w:r>
    </w:p>
  </w:endnote>
  <w:endnote w:type="continuationSeparator" w:id="0">
    <w:p w14:paraId="5058AFE6" w14:textId="77777777" w:rsidR="00D80BC7" w:rsidRDefault="00D80BC7" w:rsidP="00C44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175C0" w14:textId="77777777" w:rsidR="001E7212" w:rsidRDefault="001E72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B53E0" w14:textId="77777777" w:rsidR="001E7212" w:rsidRDefault="001E72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C98E" w14:textId="77777777" w:rsidR="001E7212" w:rsidRDefault="001E7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73F43" w14:textId="77777777" w:rsidR="00D80BC7" w:rsidRDefault="00D80BC7" w:rsidP="00C44E38">
      <w:pPr>
        <w:spacing w:after="0" w:line="240" w:lineRule="auto"/>
      </w:pPr>
      <w:r>
        <w:separator/>
      </w:r>
    </w:p>
  </w:footnote>
  <w:footnote w:type="continuationSeparator" w:id="0">
    <w:p w14:paraId="24FD5BD4" w14:textId="77777777" w:rsidR="00D80BC7" w:rsidRDefault="00D80BC7" w:rsidP="00C44E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2EED" w14:textId="77777777" w:rsidR="001E7212" w:rsidRDefault="001E72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CD73" w14:textId="52F95D9B" w:rsidR="00C44E38" w:rsidRPr="001E7212" w:rsidRDefault="001E7212" w:rsidP="001E7212">
    <w:pPr>
      <w:pStyle w:val="Header"/>
    </w:pPr>
    <w:r w:rsidRPr="001E7212">
      <w:t>Summary of Key Ship Repair Sections in the Enacted FY2026 ND</w:t>
    </w:r>
    <w:r w:rsidRPr="001E7212">
      <w:t>AA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A16C1" w14:textId="77777777" w:rsidR="001E7212" w:rsidRDefault="001E72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5D2E"/>
    <w:multiLevelType w:val="multilevel"/>
    <w:tmpl w:val="008EA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5D5A60"/>
    <w:multiLevelType w:val="multilevel"/>
    <w:tmpl w:val="D7D47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624080"/>
    <w:multiLevelType w:val="multilevel"/>
    <w:tmpl w:val="3F5282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0057F0"/>
    <w:multiLevelType w:val="multilevel"/>
    <w:tmpl w:val="BEF2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ED46F9A"/>
    <w:multiLevelType w:val="multilevel"/>
    <w:tmpl w:val="748A6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8434497">
    <w:abstractNumId w:val="2"/>
  </w:num>
  <w:num w:numId="2" w16cid:durableId="4092205">
    <w:abstractNumId w:val="4"/>
  </w:num>
  <w:num w:numId="3" w16cid:durableId="2036346535">
    <w:abstractNumId w:val="3"/>
  </w:num>
  <w:num w:numId="4" w16cid:durableId="741684744">
    <w:abstractNumId w:val="0"/>
  </w:num>
  <w:num w:numId="5" w16cid:durableId="4803136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554"/>
    <w:rsid w:val="00003160"/>
    <w:rsid w:val="001E7212"/>
    <w:rsid w:val="00216CAA"/>
    <w:rsid w:val="00351ABD"/>
    <w:rsid w:val="003E0488"/>
    <w:rsid w:val="00C44E38"/>
    <w:rsid w:val="00D76D64"/>
    <w:rsid w:val="00D80BC7"/>
    <w:rsid w:val="00D83066"/>
    <w:rsid w:val="00E43554"/>
    <w:rsid w:val="00F33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1DE33"/>
  <w15:chartTrackingRefBased/>
  <w15:docId w15:val="{9F461F33-F3C6-4BAF-A794-41DC24C48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35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35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35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35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35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35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35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35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35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35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35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35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35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35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35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35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35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3554"/>
    <w:rPr>
      <w:rFonts w:eastAsiaTheme="majorEastAsia" w:cstheme="majorBidi"/>
      <w:color w:val="272727" w:themeColor="text1" w:themeTint="D8"/>
    </w:rPr>
  </w:style>
  <w:style w:type="paragraph" w:styleId="Title">
    <w:name w:val="Title"/>
    <w:basedOn w:val="Normal"/>
    <w:next w:val="Normal"/>
    <w:link w:val="TitleChar"/>
    <w:uiPriority w:val="10"/>
    <w:qFormat/>
    <w:rsid w:val="00E435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35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35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35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3554"/>
    <w:pPr>
      <w:spacing w:before="160"/>
      <w:jc w:val="center"/>
    </w:pPr>
    <w:rPr>
      <w:i/>
      <w:iCs/>
      <w:color w:val="404040" w:themeColor="text1" w:themeTint="BF"/>
    </w:rPr>
  </w:style>
  <w:style w:type="character" w:customStyle="1" w:styleId="QuoteChar">
    <w:name w:val="Quote Char"/>
    <w:basedOn w:val="DefaultParagraphFont"/>
    <w:link w:val="Quote"/>
    <w:uiPriority w:val="29"/>
    <w:rsid w:val="00E43554"/>
    <w:rPr>
      <w:i/>
      <w:iCs/>
      <w:color w:val="404040" w:themeColor="text1" w:themeTint="BF"/>
    </w:rPr>
  </w:style>
  <w:style w:type="paragraph" w:styleId="ListParagraph">
    <w:name w:val="List Paragraph"/>
    <w:basedOn w:val="Normal"/>
    <w:uiPriority w:val="34"/>
    <w:qFormat/>
    <w:rsid w:val="00E43554"/>
    <w:pPr>
      <w:ind w:left="720"/>
      <w:contextualSpacing/>
    </w:pPr>
  </w:style>
  <w:style w:type="character" w:styleId="IntenseEmphasis">
    <w:name w:val="Intense Emphasis"/>
    <w:basedOn w:val="DefaultParagraphFont"/>
    <w:uiPriority w:val="21"/>
    <w:qFormat/>
    <w:rsid w:val="00E43554"/>
    <w:rPr>
      <w:i/>
      <w:iCs/>
      <w:color w:val="0F4761" w:themeColor="accent1" w:themeShade="BF"/>
    </w:rPr>
  </w:style>
  <w:style w:type="paragraph" w:styleId="IntenseQuote">
    <w:name w:val="Intense Quote"/>
    <w:basedOn w:val="Normal"/>
    <w:next w:val="Normal"/>
    <w:link w:val="IntenseQuoteChar"/>
    <w:uiPriority w:val="30"/>
    <w:qFormat/>
    <w:rsid w:val="00E435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3554"/>
    <w:rPr>
      <w:i/>
      <w:iCs/>
      <w:color w:val="0F4761" w:themeColor="accent1" w:themeShade="BF"/>
    </w:rPr>
  </w:style>
  <w:style w:type="character" w:styleId="IntenseReference">
    <w:name w:val="Intense Reference"/>
    <w:basedOn w:val="DefaultParagraphFont"/>
    <w:uiPriority w:val="32"/>
    <w:qFormat/>
    <w:rsid w:val="00E43554"/>
    <w:rPr>
      <w:b/>
      <w:bCs/>
      <w:smallCaps/>
      <w:color w:val="0F4761" w:themeColor="accent1" w:themeShade="BF"/>
      <w:spacing w:val="5"/>
    </w:rPr>
  </w:style>
  <w:style w:type="paragraph" w:styleId="Header">
    <w:name w:val="header"/>
    <w:basedOn w:val="Normal"/>
    <w:link w:val="HeaderChar"/>
    <w:uiPriority w:val="99"/>
    <w:unhideWhenUsed/>
    <w:rsid w:val="00C44E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E38"/>
  </w:style>
  <w:style w:type="paragraph" w:styleId="Footer">
    <w:name w:val="footer"/>
    <w:basedOn w:val="Normal"/>
    <w:link w:val="FooterChar"/>
    <w:uiPriority w:val="99"/>
    <w:unhideWhenUsed/>
    <w:rsid w:val="00C44E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E38"/>
  </w:style>
  <w:style w:type="character" w:styleId="Hyperlink">
    <w:name w:val="Hyperlink"/>
    <w:basedOn w:val="DefaultParagraphFont"/>
    <w:uiPriority w:val="99"/>
    <w:unhideWhenUsed/>
    <w:rsid w:val="001E7212"/>
    <w:rPr>
      <w:color w:val="467886" w:themeColor="hyperlink"/>
      <w:u w:val="single"/>
    </w:rPr>
  </w:style>
  <w:style w:type="character" w:styleId="UnresolvedMention">
    <w:name w:val="Unresolved Mention"/>
    <w:basedOn w:val="DefaultParagraphFont"/>
    <w:uiPriority w:val="99"/>
    <w:semiHidden/>
    <w:unhideWhenUsed/>
    <w:rsid w:val="001E7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ongress.gov/bill/119th-congress/senate-bill/1071/tex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2181</Words>
  <Characters>12435</Characters>
  <Application>Microsoft Office Word</Application>
  <DocSecurity>0</DocSecurity>
  <Lines>103</Lines>
  <Paragraphs>29</Paragraphs>
  <ScaleCrop>false</ScaleCrop>
  <Company/>
  <LinksUpToDate>false</LinksUpToDate>
  <CharactersWithSpaces>14587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Caniya</dc:creator>
  <cp:keywords/>
  <dc:description/>
  <cp:lastModifiedBy>Monica Caniya</cp:lastModifiedBy>
  <cp:revision>2</cp:revision>
  <dcterms:created xsi:type="dcterms:W3CDTF">2026-10-14T17:47:00Z</dcterms:created>
  <dcterms:modified xsi:type="dcterms:W3CDTF">2026-10-14T17:47:00Z</dcterms:modified>
</cp:coreProperties>
</file>