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3DC0" w14:textId="77777777" w:rsidR="00C5720F" w:rsidRPr="00D62647" w:rsidRDefault="00C5720F" w:rsidP="00D62647">
      <w:pPr>
        <w:jc w:val="both"/>
        <w:rPr>
          <w:sz w:val="23"/>
          <w:szCs w:val="23"/>
        </w:rPr>
      </w:pPr>
      <w:r w:rsidRPr="00D62647">
        <w:rPr>
          <w:sz w:val="23"/>
          <w:szCs w:val="23"/>
        </w:rPr>
        <w:t>Members,</w:t>
      </w:r>
    </w:p>
    <w:p w14:paraId="6EF4B375" w14:textId="77777777" w:rsidR="00C5720F" w:rsidRPr="00D62647" w:rsidRDefault="00C5720F" w:rsidP="00D62647">
      <w:pPr>
        <w:jc w:val="both"/>
        <w:rPr>
          <w:sz w:val="23"/>
          <w:szCs w:val="23"/>
        </w:rPr>
      </w:pPr>
      <w:r w:rsidRPr="00D62647">
        <w:rPr>
          <w:sz w:val="23"/>
          <w:szCs w:val="23"/>
        </w:rPr>
        <w:t xml:space="preserve">With the </w:t>
      </w:r>
      <w:r w:rsidRPr="00D62647">
        <w:rPr>
          <w:b/>
          <w:bCs/>
          <w:sz w:val="23"/>
          <w:szCs w:val="23"/>
        </w:rPr>
        <w:t>FY2026 National Defense Authorization Act (NDAA)</w:t>
      </w:r>
      <w:r w:rsidRPr="00D62647">
        <w:rPr>
          <w:sz w:val="23"/>
          <w:szCs w:val="23"/>
        </w:rPr>
        <w:t xml:space="preserve"> now signed into law (enacted in December 2025), the next critical step in the defense budgeting process is appropriations legislation to provide the actual funding for authorized programs. House and Senate appropriators have reached a bipartisan agreement on the </w:t>
      </w:r>
      <w:r w:rsidRPr="00D62647">
        <w:rPr>
          <w:b/>
          <w:bCs/>
          <w:sz w:val="23"/>
          <w:szCs w:val="23"/>
        </w:rPr>
        <w:t>FY2026 Defense Appropriations bill</w:t>
      </w:r>
      <w:r w:rsidRPr="00D62647">
        <w:rPr>
          <w:sz w:val="23"/>
          <w:szCs w:val="23"/>
        </w:rPr>
        <w:t xml:space="preserve">, setting a topline of </w:t>
      </w:r>
      <w:r w:rsidRPr="00D62647">
        <w:rPr>
          <w:b/>
          <w:bCs/>
          <w:sz w:val="23"/>
          <w:szCs w:val="23"/>
        </w:rPr>
        <w:t>$838.7 billion</w:t>
      </w:r>
      <w:r w:rsidRPr="00D62647">
        <w:rPr>
          <w:sz w:val="23"/>
          <w:szCs w:val="23"/>
        </w:rPr>
        <w:t xml:space="preserve">—an increase of </w:t>
      </w:r>
      <w:r w:rsidRPr="00D62647">
        <w:rPr>
          <w:b/>
          <w:bCs/>
          <w:sz w:val="23"/>
          <w:szCs w:val="23"/>
        </w:rPr>
        <w:t>$8.4 billion</w:t>
      </w:r>
      <w:r w:rsidRPr="00D62647">
        <w:rPr>
          <w:sz w:val="23"/>
          <w:szCs w:val="23"/>
        </w:rPr>
        <w:t xml:space="preserve"> above the Pentagon's original budget request.</w:t>
      </w:r>
    </w:p>
    <w:p w14:paraId="3C957EFF" w14:textId="77777777" w:rsidR="00C5720F" w:rsidRPr="00D62647" w:rsidRDefault="00C5720F" w:rsidP="00D62647">
      <w:pPr>
        <w:jc w:val="both"/>
        <w:rPr>
          <w:sz w:val="23"/>
          <w:szCs w:val="23"/>
        </w:rPr>
      </w:pPr>
      <w:r w:rsidRPr="00D62647">
        <w:rPr>
          <w:sz w:val="23"/>
          <w:szCs w:val="23"/>
        </w:rPr>
        <w:t>This agreement, part of a larger minibus/omnibus package released in mid-January 2026 and advancing toward final passage, addresses key priorities while rejecting or scaling back several late-emerging Pentagon requests totaling over $50 billion. Below are the main highlights from the conference agreement, based on the joint explanatory statement and related summaries.</w:t>
      </w:r>
    </w:p>
    <w:p w14:paraId="4E35E144" w14:textId="77777777" w:rsidR="00C5720F" w:rsidRPr="00D62647" w:rsidRDefault="00C5720F" w:rsidP="00D62647">
      <w:pPr>
        <w:jc w:val="both"/>
        <w:rPr>
          <w:sz w:val="23"/>
          <w:szCs w:val="23"/>
        </w:rPr>
      </w:pPr>
      <w:r w:rsidRPr="00D62647">
        <w:rPr>
          <w:b/>
          <w:bCs/>
          <w:sz w:val="23"/>
          <w:szCs w:val="23"/>
        </w:rPr>
        <w:t>Key Highlights:</w:t>
      </w:r>
    </w:p>
    <w:p w14:paraId="040FC560" w14:textId="77777777" w:rsidR="00C5720F" w:rsidRPr="00D62647" w:rsidRDefault="00C5720F" w:rsidP="00D62647">
      <w:pPr>
        <w:numPr>
          <w:ilvl w:val="0"/>
          <w:numId w:val="5"/>
        </w:numPr>
        <w:jc w:val="both"/>
        <w:rPr>
          <w:sz w:val="23"/>
          <w:szCs w:val="23"/>
        </w:rPr>
      </w:pPr>
      <w:r w:rsidRPr="00D62647">
        <w:rPr>
          <w:b/>
          <w:bCs/>
          <w:sz w:val="23"/>
          <w:szCs w:val="23"/>
        </w:rPr>
        <w:t>Overall Topline and Constraints</w:t>
      </w:r>
      <w:r w:rsidRPr="00D62647">
        <w:rPr>
          <w:sz w:val="23"/>
          <w:szCs w:val="23"/>
        </w:rPr>
        <w:t xml:space="preserve"> — The $838.7 billion provides a modest boost but falls short of fully covering post-request unfunded priorities, including $26.5 billion in accounting shortfalls (e.g., Virginia-class submarine), $2.3 billion in emergent requirements, and a major $28.8 billion push for multiyear munitions procurement contracts. Appropriators emphasized the need for predictable, annual funding to address these long-term challenges effectively.</w:t>
      </w:r>
    </w:p>
    <w:p w14:paraId="6C1394EB" w14:textId="77777777" w:rsidR="00C5720F" w:rsidRPr="00D62647" w:rsidRDefault="00C5720F" w:rsidP="00D62647">
      <w:pPr>
        <w:numPr>
          <w:ilvl w:val="0"/>
          <w:numId w:val="5"/>
        </w:numPr>
        <w:jc w:val="both"/>
        <w:rPr>
          <w:sz w:val="23"/>
          <w:szCs w:val="23"/>
        </w:rPr>
      </w:pPr>
      <w:r w:rsidRPr="00D62647">
        <w:rPr>
          <w:b/>
          <w:bCs/>
          <w:sz w:val="23"/>
          <w:szCs w:val="23"/>
        </w:rPr>
        <w:t>Munitions and Industrial Base</w:t>
      </w:r>
      <w:r w:rsidRPr="00D62647">
        <w:rPr>
          <w:sz w:val="23"/>
          <w:szCs w:val="23"/>
        </w:rPr>
        <w:t xml:space="preserve"> — The bill largely declines the broad $28+ billion multiyear request due to insufficient justification, offsets, and topline limits. Instead, it adds </w:t>
      </w:r>
      <w:r w:rsidRPr="00D62647">
        <w:rPr>
          <w:b/>
          <w:bCs/>
          <w:sz w:val="23"/>
          <w:szCs w:val="23"/>
        </w:rPr>
        <w:t>$1.8 billion</w:t>
      </w:r>
      <w:r w:rsidRPr="00D62647">
        <w:rPr>
          <w:sz w:val="23"/>
          <w:szCs w:val="23"/>
        </w:rPr>
        <w:t xml:space="preserve"> for munitions and authorizes multiyear procurement for eight key systems: PAC-3, SM-6, THAAD, AMRAAM, Tomahawk, LRASM, JASSM-ER, and SM-3 IB. It allocates </w:t>
      </w:r>
      <w:r w:rsidRPr="00D62647">
        <w:rPr>
          <w:b/>
          <w:bCs/>
          <w:sz w:val="23"/>
          <w:szCs w:val="23"/>
        </w:rPr>
        <w:t>$500 million</w:t>
      </w:r>
      <w:r w:rsidRPr="00D62647">
        <w:rPr>
          <w:sz w:val="23"/>
          <w:szCs w:val="23"/>
        </w:rPr>
        <w:t xml:space="preserve"> to modernize/expand solid rocket motor facilities (including $150 million for second sources) to ease supply chain bottlenecks. Additional reporting requirements focus on expended munitions, production capacity, and low-cost alternatives.</w:t>
      </w:r>
    </w:p>
    <w:p w14:paraId="4644D92E" w14:textId="77777777" w:rsidR="00C5720F" w:rsidRPr="00D62647" w:rsidRDefault="00C5720F" w:rsidP="00D62647">
      <w:pPr>
        <w:numPr>
          <w:ilvl w:val="0"/>
          <w:numId w:val="5"/>
        </w:numPr>
        <w:jc w:val="both"/>
        <w:rPr>
          <w:sz w:val="23"/>
          <w:szCs w:val="23"/>
        </w:rPr>
      </w:pPr>
      <w:r w:rsidRPr="00D62647">
        <w:rPr>
          <w:b/>
          <w:bCs/>
          <w:sz w:val="23"/>
          <w:szCs w:val="23"/>
        </w:rPr>
        <w:t>Golden Dome Missile Defense</w:t>
      </w:r>
      <w:r w:rsidRPr="00D62647">
        <w:rPr>
          <w:sz w:val="23"/>
          <w:szCs w:val="23"/>
        </w:rPr>
        <w:t xml:space="preserve"> — Lawmakers expressed concerns over limited budgetary details for the program's $23 billion from last year's reconciliation bill. The agreement directs the Pentagon to submit a comprehensive spending plan (FY25–FY27) within 60 days of enactment, plus separate budget justification books starting in FY28. (Note: Broader missile defense and related space efforts receive significant support in the package, aligning with administration priorities.)</w:t>
      </w:r>
    </w:p>
    <w:p w14:paraId="5A4CA36F" w14:textId="77777777" w:rsidR="00C5720F" w:rsidRPr="00D62647" w:rsidRDefault="00C5720F" w:rsidP="00D62647">
      <w:pPr>
        <w:numPr>
          <w:ilvl w:val="0"/>
          <w:numId w:val="5"/>
        </w:numPr>
        <w:jc w:val="both"/>
        <w:rPr>
          <w:sz w:val="23"/>
          <w:szCs w:val="23"/>
        </w:rPr>
      </w:pPr>
      <w:r w:rsidRPr="00D62647">
        <w:rPr>
          <w:b/>
          <w:bCs/>
          <w:sz w:val="23"/>
          <w:szCs w:val="23"/>
        </w:rPr>
        <w:t>Service-Specific Notable Adjustments</w:t>
      </w:r>
      <w:r w:rsidRPr="00D62647">
        <w:rPr>
          <w:sz w:val="23"/>
          <w:szCs w:val="23"/>
        </w:rPr>
        <w:t>:</w:t>
      </w:r>
    </w:p>
    <w:p w14:paraId="4926BE7A" w14:textId="77777777" w:rsidR="00C5720F" w:rsidRPr="00D62647" w:rsidRDefault="00C5720F" w:rsidP="00D62647">
      <w:pPr>
        <w:numPr>
          <w:ilvl w:val="1"/>
          <w:numId w:val="5"/>
        </w:numPr>
        <w:jc w:val="both"/>
        <w:rPr>
          <w:sz w:val="23"/>
          <w:szCs w:val="23"/>
        </w:rPr>
      </w:pPr>
      <w:r w:rsidRPr="00D62647">
        <w:rPr>
          <w:b/>
          <w:bCs/>
          <w:sz w:val="23"/>
          <w:szCs w:val="23"/>
        </w:rPr>
        <w:t>Army</w:t>
      </w:r>
      <w:r w:rsidRPr="00D62647">
        <w:rPr>
          <w:sz w:val="23"/>
          <w:szCs w:val="23"/>
        </w:rPr>
        <w:t xml:space="preserve"> — Denied agile funding/flexibility request for ~1% of budget (e.g., consolidating drone/EW lines). Cuts to AMPV, Stryker upgrades, and other </w:t>
      </w:r>
      <w:r w:rsidRPr="00D62647">
        <w:rPr>
          <w:sz w:val="23"/>
          <w:szCs w:val="23"/>
        </w:rPr>
        <w:lastRenderedPageBreak/>
        <w:t>programs deemed "early to need"; plus-ups for PAC-3, PRSM, Gray Eagle, and Apache remanufacturing.</w:t>
      </w:r>
    </w:p>
    <w:p w14:paraId="6E663066" w14:textId="77777777" w:rsidR="00C5720F" w:rsidRPr="00D62647" w:rsidRDefault="00C5720F" w:rsidP="00D62647">
      <w:pPr>
        <w:numPr>
          <w:ilvl w:val="1"/>
          <w:numId w:val="5"/>
        </w:numPr>
        <w:jc w:val="both"/>
        <w:rPr>
          <w:sz w:val="23"/>
          <w:szCs w:val="23"/>
        </w:rPr>
      </w:pPr>
      <w:r w:rsidRPr="00D62647">
        <w:rPr>
          <w:b/>
          <w:bCs/>
          <w:sz w:val="23"/>
          <w:szCs w:val="23"/>
        </w:rPr>
        <w:t>Navy</w:t>
      </w:r>
      <w:r w:rsidRPr="00D62647">
        <w:rPr>
          <w:sz w:val="23"/>
          <w:szCs w:val="23"/>
        </w:rPr>
        <w:t xml:space="preserve"> — Major lifeline for </w:t>
      </w:r>
      <w:r w:rsidRPr="00D62647">
        <w:rPr>
          <w:b/>
          <w:bCs/>
          <w:sz w:val="23"/>
          <w:szCs w:val="23"/>
        </w:rPr>
        <w:t>F/A-XX</w:t>
      </w:r>
      <w:r w:rsidRPr="00D62647">
        <w:rPr>
          <w:sz w:val="23"/>
          <w:szCs w:val="23"/>
        </w:rPr>
        <w:t xml:space="preserve"> sixth-generation fighter with </w:t>
      </w:r>
      <w:r w:rsidRPr="00D62647">
        <w:rPr>
          <w:b/>
          <w:bCs/>
          <w:sz w:val="23"/>
          <w:szCs w:val="23"/>
        </w:rPr>
        <w:t>$897 million</w:t>
      </w:r>
      <w:r w:rsidRPr="00D62647">
        <w:rPr>
          <w:sz w:val="23"/>
          <w:szCs w:val="23"/>
        </w:rPr>
        <w:t xml:space="preserve"> added above request, directing contract award for accelerated IOC. Strong shipbuilding support ($27.2 billion for 17 ships, including Columbia- and Virginia-class subs, plus additional landing ships and industrial base funding).</w:t>
      </w:r>
    </w:p>
    <w:p w14:paraId="615BB057" w14:textId="77777777" w:rsidR="00C5720F" w:rsidRPr="00D62647" w:rsidRDefault="00C5720F" w:rsidP="00D62647">
      <w:pPr>
        <w:numPr>
          <w:ilvl w:val="1"/>
          <w:numId w:val="5"/>
        </w:numPr>
        <w:jc w:val="both"/>
        <w:rPr>
          <w:sz w:val="23"/>
          <w:szCs w:val="23"/>
        </w:rPr>
      </w:pPr>
      <w:r w:rsidRPr="00D62647">
        <w:rPr>
          <w:b/>
          <w:bCs/>
          <w:sz w:val="23"/>
          <w:szCs w:val="23"/>
        </w:rPr>
        <w:t>Air Force</w:t>
      </w:r>
      <w:r w:rsidRPr="00D62647">
        <w:rPr>
          <w:sz w:val="23"/>
          <w:szCs w:val="23"/>
        </w:rPr>
        <w:t xml:space="preserve"> — </w:t>
      </w:r>
      <w:r w:rsidRPr="00D62647">
        <w:rPr>
          <w:b/>
          <w:bCs/>
          <w:sz w:val="23"/>
          <w:szCs w:val="23"/>
        </w:rPr>
        <w:t>$1.1 billion</w:t>
      </w:r>
      <w:r w:rsidRPr="00D62647">
        <w:rPr>
          <w:sz w:val="23"/>
          <w:szCs w:val="23"/>
        </w:rPr>
        <w:t xml:space="preserve"> to continue E-7 Wedgetail despite Pentagon efforts to cancel; procurement boosts for C-130J, EA-37B, F-15EX, etc.; F-35 plus-up for economic assumptions and spares; B-21 cut in procurement but development boost; significant classified adjustments.</w:t>
      </w:r>
    </w:p>
    <w:p w14:paraId="1588DA0B" w14:textId="77777777" w:rsidR="00C5720F" w:rsidRPr="00D62647" w:rsidRDefault="00C5720F" w:rsidP="00D62647">
      <w:pPr>
        <w:numPr>
          <w:ilvl w:val="1"/>
          <w:numId w:val="5"/>
        </w:numPr>
        <w:jc w:val="both"/>
        <w:rPr>
          <w:sz w:val="23"/>
          <w:szCs w:val="23"/>
        </w:rPr>
      </w:pPr>
      <w:r w:rsidRPr="00D62647">
        <w:rPr>
          <w:b/>
          <w:bCs/>
          <w:sz w:val="23"/>
          <w:szCs w:val="23"/>
        </w:rPr>
        <w:t>Space Force</w:t>
      </w:r>
      <w:r w:rsidRPr="00D62647">
        <w:rPr>
          <w:sz w:val="23"/>
          <w:szCs w:val="23"/>
        </w:rPr>
        <w:t xml:space="preserve"> — Procurement up </w:t>
      </w:r>
      <w:r w:rsidRPr="00D62647">
        <w:rPr>
          <w:b/>
          <w:bCs/>
          <w:sz w:val="23"/>
          <w:szCs w:val="23"/>
        </w:rPr>
        <w:t>$642 million</w:t>
      </w:r>
      <w:r w:rsidRPr="00D62647">
        <w:rPr>
          <w:sz w:val="23"/>
          <w:szCs w:val="23"/>
        </w:rPr>
        <w:t>; RDT&amp;E trimmed with shifts (e.g., from Long Range Kill Chains to GMTI/auxiliary payloads). Concerns over reliance on NRO/SpaceX sole-source contracts; boosts for commercial ISR services and SDA Transport Layer.</w:t>
      </w:r>
    </w:p>
    <w:p w14:paraId="3E2182B5" w14:textId="77777777" w:rsidR="00C5720F" w:rsidRPr="00D62647" w:rsidRDefault="00C5720F" w:rsidP="00D62647">
      <w:pPr>
        <w:numPr>
          <w:ilvl w:val="0"/>
          <w:numId w:val="5"/>
        </w:numPr>
        <w:jc w:val="both"/>
        <w:rPr>
          <w:sz w:val="23"/>
          <w:szCs w:val="23"/>
        </w:rPr>
      </w:pPr>
      <w:r w:rsidRPr="00D62647">
        <w:rPr>
          <w:b/>
          <w:bCs/>
          <w:sz w:val="23"/>
          <w:szCs w:val="23"/>
        </w:rPr>
        <w:t>Other Provisions</w:t>
      </w:r>
      <w:r w:rsidRPr="00D62647">
        <w:rPr>
          <w:sz w:val="23"/>
          <w:szCs w:val="23"/>
        </w:rPr>
        <w:t xml:space="preserve"> — </w:t>
      </w:r>
      <w:r w:rsidRPr="00D62647">
        <w:rPr>
          <w:b/>
          <w:bCs/>
          <w:sz w:val="23"/>
          <w:szCs w:val="23"/>
        </w:rPr>
        <w:t>$400 million</w:t>
      </w:r>
      <w:r w:rsidRPr="00D62647">
        <w:rPr>
          <w:sz w:val="23"/>
          <w:szCs w:val="23"/>
        </w:rPr>
        <w:t xml:space="preserve"> added for European capacity building (potentially applicable to Ukraine, consistent with NDAA authorities). Emphasis on efficiency, innovation, and supply chain resilience.</w:t>
      </w:r>
    </w:p>
    <w:p w14:paraId="26A021C3" w14:textId="77777777" w:rsidR="00C5720F" w:rsidRPr="00D62647" w:rsidRDefault="00C5720F" w:rsidP="00D62647">
      <w:pPr>
        <w:jc w:val="both"/>
        <w:rPr>
          <w:sz w:val="23"/>
          <w:szCs w:val="23"/>
        </w:rPr>
      </w:pPr>
      <w:r w:rsidRPr="00D62647">
        <w:rPr>
          <w:b/>
          <w:bCs/>
          <w:sz w:val="23"/>
          <w:szCs w:val="23"/>
        </w:rPr>
        <w:t>Legislative Process Notes</w:t>
      </w:r>
      <w:r w:rsidRPr="00D62647">
        <w:rPr>
          <w:sz w:val="23"/>
          <w:szCs w:val="23"/>
        </w:rPr>
        <w:t>:</w:t>
      </w:r>
    </w:p>
    <w:p w14:paraId="683BFEAB" w14:textId="77777777" w:rsidR="00C5720F" w:rsidRPr="00D62647" w:rsidRDefault="00C5720F" w:rsidP="00D62647">
      <w:pPr>
        <w:numPr>
          <w:ilvl w:val="0"/>
          <w:numId w:val="6"/>
        </w:numPr>
        <w:jc w:val="both"/>
        <w:rPr>
          <w:sz w:val="23"/>
          <w:szCs w:val="23"/>
        </w:rPr>
      </w:pPr>
      <w:r w:rsidRPr="00D62647">
        <w:rPr>
          <w:sz w:val="23"/>
          <w:szCs w:val="23"/>
        </w:rPr>
        <w:t>The NDAA (signed December 2025) authorizes programs, policies, and funding ceilings but does not provide actual dollars—appropriations bills supply the funding.</w:t>
      </w:r>
    </w:p>
    <w:p w14:paraId="60A5D53D" w14:textId="77777777" w:rsidR="00C5720F" w:rsidRPr="00D62647" w:rsidRDefault="00C5720F" w:rsidP="00D62647">
      <w:pPr>
        <w:numPr>
          <w:ilvl w:val="0"/>
          <w:numId w:val="6"/>
        </w:numPr>
        <w:jc w:val="both"/>
        <w:rPr>
          <w:sz w:val="23"/>
          <w:szCs w:val="23"/>
        </w:rPr>
      </w:pPr>
      <w:r w:rsidRPr="00D62647">
        <w:rPr>
          <w:sz w:val="23"/>
          <w:szCs w:val="23"/>
        </w:rPr>
        <w:t>This defense appropriations measure is part of a bipartisan conferenced minibus (covering Defense, Homeland Security, LHHS, THUD, etc.), released January 19–20, 2026, and moving toward House/Senate votes and potential presidential signature before funding deadlines.</w:t>
      </w:r>
    </w:p>
    <w:p w14:paraId="54F26D4F" w14:textId="77777777" w:rsidR="00C5720F" w:rsidRPr="00D62647" w:rsidRDefault="00C5720F" w:rsidP="00D62647">
      <w:pPr>
        <w:numPr>
          <w:ilvl w:val="0"/>
          <w:numId w:val="6"/>
        </w:numPr>
        <w:jc w:val="both"/>
        <w:rPr>
          <w:sz w:val="23"/>
          <w:szCs w:val="23"/>
        </w:rPr>
      </w:pPr>
      <w:r w:rsidRPr="00D62647">
        <w:rPr>
          <w:sz w:val="23"/>
          <w:szCs w:val="23"/>
        </w:rPr>
        <w:t>The agreement reflects compromises amid resource limits, reconciliation adjustments from prior actions, and congressional oversight pushback on late/unjustified requests.</w:t>
      </w:r>
    </w:p>
    <w:p w14:paraId="73585BF8" w14:textId="77777777" w:rsidR="00C5720F" w:rsidRDefault="00C5720F" w:rsidP="00D62647">
      <w:pPr>
        <w:jc w:val="both"/>
        <w:rPr>
          <w:sz w:val="23"/>
          <w:szCs w:val="23"/>
        </w:rPr>
      </w:pPr>
      <w:r w:rsidRPr="00D62647">
        <w:rPr>
          <w:sz w:val="23"/>
          <w:szCs w:val="23"/>
        </w:rPr>
        <w:t>This bill makes targeted investments in readiness, modernization, and industrial capacity while signaling fiscal discipline. We will monitor final passage and any implementation details closely and provide updates as needed.</w:t>
      </w:r>
    </w:p>
    <w:p w14:paraId="295A57F2" w14:textId="77777777" w:rsidR="00D62647" w:rsidRPr="00D62647" w:rsidRDefault="00D62647" w:rsidP="00D62647">
      <w:pPr>
        <w:jc w:val="both"/>
        <w:rPr>
          <w:sz w:val="23"/>
          <w:szCs w:val="23"/>
        </w:rPr>
      </w:pPr>
    </w:p>
    <w:p w14:paraId="1FCD24FE" w14:textId="77777777" w:rsidR="00C5720F" w:rsidRPr="00D62647" w:rsidRDefault="00C5720F" w:rsidP="00D62647">
      <w:pPr>
        <w:jc w:val="both"/>
        <w:rPr>
          <w:sz w:val="23"/>
          <w:szCs w:val="23"/>
        </w:rPr>
      </w:pPr>
      <w:r w:rsidRPr="00D62647">
        <w:rPr>
          <w:sz w:val="23"/>
          <w:szCs w:val="23"/>
        </w:rPr>
        <w:t>Marcel Becker</w:t>
      </w:r>
    </w:p>
    <w:tbl>
      <w:tblPr>
        <w:tblW w:w="12360" w:type="dxa"/>
        <w:tblCellMar>
          <w:left w:w="0" w:type="dxa"/>
          <w:right w:w="0" w:type="dxa"/>
        </w:tblCellMar>
        <w:tblLook w:val="04A0" w:firstRow="1" w:lastRow="0" w:firstColumn="1" w:lastColumn="0" w:noHBand="0" w:noVBand="1"/>
      </w:tblPr>
      <w:tblGrid>
        <w:gridCol w:w="12360"/>
      </w:tblGrid>
      <w:tr w:rsidR="00C5720F" w:rsidRPr="00D62647" w14:paraId="1DD4FCB9" w14:textId="77777777">
        <w:tc>
          <w:tcPr>
            <w:tcW w:w="0" w:type="auto"/>
            <w:hideMark/>
          </w:tcPr>
          <w:tbl>
            <w:tblPr>
              <w:tblW w:w="12360" w:type="dxa"/>
              <w:tblCellMar>
                <w:left w:w="0" w:type="dxa"/>
                <w:right w:w="0" w:type="dxa"/>
              </w:tblCellMar>
              <w:tblLook w:val="04A0" w:firstRow="1" w:lastRow="0" w:firstColumn="1" w:lastColumn="0" w:noHBand="0" w:noVBand="1"/>
            </w:tblPr>
            <w:tblGrid>
              <w:gridCol w:w="12360"/>
            </w:tblGrid>
            <w:tr w:rsidR="00C5720F" w:rsidRPr="00D62647" w14:paraId="15CDD323" w14:textId="77777777">
              <w:tc>
                <w:tcPr>
                  <w:tcW w:w="0" w:type="auto"/>
                  <w:hideMark/>
                </w:tcPr>
                <w:p w14:paraId="506D8D2D" w14:textId="584AC35D" w:rsidR="00C5720F" w:rsidRPr="00D62647" w:rsidRDefault="00C5720F" w:rsidP="00D62647">
                  <w:pPr>
                    <w:jc w:val="both"/>
                    <w:rPr>
                      <w:sz w:val="23"/>
                      <w:szCs w:val="23"/>
                    </w:rPr>
                  </w:pPr>
                  <w:r w:rsidRPr="00D62647">
                    <w:rPr>
                      <w:sz w:val="23"/>
                      <w:szCs w:val="23"/>
                    </w:rPr>
                    <w:t>Chairman PSDSRA</w:t>
                  </w:r>
                </w:p>
              </w:tc>
            </w:tr>
          </w:tbl>
          <w:p w14:paraId="1429ACC0" w14:textId="77777777" w:rsidR="00C5720F" w:rsidRPr="00D62647" w:rsidRDefault="00C5720F" w:rsidP="00D62647">
            <w:pPr>
              <w:jc w:val="both"/>
              <w:rPr>
                <w:sz w:val="23"/>
                <w:szCs w:val="23"/>
              </w:rPr>
            </w:pPr>
          </w:p>
        </w:tc>
      </w:tr>
    </w:tbl>
    <w:p w14:paraId="1ABF2EC7" w14:textId="77777777" w:rsidR="00216CAA" w:rsidRPr="00D62647" w:rsidRDefault="00216CAA" w:rsidP="00D62647">
      <w:pPr>
        <w:jc w:val="both"/>
        <w:rPr>
          <w:sz w:val="23"/>
          <w:szCs w:val="23"/>
        </w:rPr>
      </w:pPr>
    </w:p>
    <w:sectPr w:rsidR="00216CAA" w:rsidRPr="00D6264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34E4" w14:textId="77777777" w:rsidR="00593357" w:rsidRDefault="00593357" w:rsidP="00C44E38">
      <w:pPr>
        <w:spacing w:after="0" w:line="240" w:lineRule="auto"/>
      </w:pPr>
      <w:r>
        <w:separator/>
      </w:r>
    </w:p>
  </w:endnote>
  <w:endnote w:type="continuationSeparator" w:id="0">
    <w:p w14:paraId="1E0ABAC6" w14:textId="77777777" w:rsidR="00593357" w:rsidRDefault="00593357"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1C47" w14:textId="77777777" w:rsidR="00593357" w:rsidRDefault="00593357" w:rsidP="00C44E38">
      <w:pPr>
        <w:spacing w:after="0" w:line="240" w:lineRule="auto"/>
      </w:pPr>
      <w:r>
        <w:separator/>
      </w:r>
    </w:p>
  </w:footnote>
  <w:footnote w:type="continuationSeparator" w:id="0">
    <w:p w14:paraId="2D12D7B5" w14:textId="77777777" w:rsidR="00593357" w:rsidRDefault="00593357"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3F81EF3A" w:rsidR="00C44E38" w:rsidRPr="008009B9" w:rsidRDefault="008009B9" w:rsidP="008009B9">
    <w:pPr>
      <w:pStyle w:val="Header"/>
    </w:pPr>
    <w:r w:rsidRPr="008009B9">
      <w:t>Executive Summary – FY2026 Defense Appropriations Agreement (Post-NDAA Enactment)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06EBB"/>
    <w:multiLevelType w:val="multilevel"/>
    <w:tmpl w:val="96B4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D43D27"/>
    <w:multiLevelType w:val="multilevel"/>
    <w:tmpl w:val="9F8A0E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802AC9"/>
    <w:multiLevelType w:val="multilevel"/>
    <w:tmpl w:val="3CD40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9563C6"/>
    <w:multiLevelType w:val="multilevel"/>
    <w:tmpl w:val="F638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2"/>
  </w:num>
  <w:num w:numId="2" w16cid:durableId="4092205">
    <w:abstractNumId w:val="5"/>
  </w:num>
  <w:num w:numId="3" w16cid:durableId="1369794391">
    <w:abstractNumId w:val="1"/>
  </w:num>
  <w:num w:numId="4" w16cid:durableId="600114322">
    <w:abstractNumId w:val="4"/>
  </w:num>
  <w:num w:numId="5" w16cid:durableId="184832359">
    <w:abstractNumId w:val="3"/>
  </w:num>
  <w:num w:numId="6" w16cid:durableId="1564365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010F14"/>
    <w:rsid w:val="00216CAA"/>
    <w:rsid w:val="003E0488"/>
    <w:rsid w:val="00593357"/>
    <w:rsid w:val="005A4C14"/>
    <w:rsid w:val="008009B9"/>
    <w:rsid w:val="00AA044D"/>
    <w:rsid w:val="00C44E38"/>
    <w:rsid w:val="00C5720F"/>
    <w:rsid w:val="00D62647"/>
    <w:rsid w:val="00D76D64"/>
    <w:rsid w:val="00D83066"/>
    <w:rsid w:val="00E43554"/>
    <w:rsid w:val="00F33F8B"/>
    <w:rsid w:val="00FF0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AA044D"/>
    <w:rPr>
      <w:color w:val="467886" w:themeColor="hyperlink"/>
      <w:u w:val="single"/>
    </w:rPr>
  </w:style>
  <w:style w:type="character" w:styleId="UnresolvedMention">
    <w:name w:val="Unresolved Mention"/>
    <w:basedOn w:val="DefaultParagraphFont"/>
    <w:uiPriority w:val="99"/>
    <w:semiHidden/>
    <w:unhideWhenUsed/>
    <w:rsid w:val="00AA04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3919</Characters>
  <Application>Microsoft Office Word</Application>
  <DocSecurity>0</DocSecurity>
  <Lines>32</Lines>
  <Paragraphs>9</Paragraphs>
  <ScaleCrop>false</ScaleCrop>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5</cp:revision>
  <dcterms:created xsi:type="dcterms:W3CDTF">2026-10-14T17:51:00Z</dcterms:created>
  <dcterms:modified xsi:type="dcterms:W3CDTF">2026-10-14T18:24:00Z</dcterms:modified>
</cp:coreProperties>
</file>